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1C319F08" w:rsidR="00F23FC9" w:rsidRPr="00057E07"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057E07">
        <w:rPr>
          <w:rFonts w:ascii="Arial" w:hAnsi="Arial" w:cs="Arial"/>
          <w:b/>
          <w:bCs/>
          <w:caps/>
          <w:color w:val="214F87"/>
          <w:sz w:val="60"/>
          <w:szCs w:val="60"/>
        </w:rPr>
        <w:t>Integrovaný regionální operační program</w:t>
      </w:r>
    </w:p>
    <w:p w14:paraId="1A150955" w14:textId="77777777" w:rsidR="00F23FC9" w:rsidRPr="00057E07" w:rsidRDefault="00F23FC9" w:rsidP="00F23FC9">
      <w:pPr>
        <w:spacing w:after="60"/>
        <w:jc w:val="center"/>
        <w:rPr>
          <w:rFonts w:ascii="Arial" w:hAnsi="Arial" w:cs="Arial"/>
          <w:b/>
          <w:color w:val="214F87"/>
          <w:sz w:val="60"/>
          <w:szCs w:val="60"/>
        </w:rPr>
      </w:pPr>
      <w:r w:rsidRPr="00057E07">
        <w:rPr>
          <w:rFonts w:ascii="Arial" w:hAnsi="Arial" w:cs="Arial"/>
          <w:b/>
          <w:color w:val="214F87"/>
          <w:sz w:val="60"/>
          <w:szCs w:val="60"/>
        </w:rPr>
        <w:t>2021–2027</w:t>
      </w:r>
    </w:p>
    <w:p w14:paraId="3413D14E" w14:textId="799D3DD6" w:rsidR="00F23FC9" w:rsidRPr="00057E07" w:rsidRDefault="00F23FC9" w:rsidP="00057E07">
      <w:pPr>
        <w:spacing w:before="960" w:after="60"/>
        <w:jc w:val="center"/>
        <w:rPr>
          <w:rFonts w:ascii="Arial" w:eastAsiaTheme="minorEastAsia" w:hAnsi="Arial" w:cstheme="minorBidi"/>
          <w:b/>
          <w:bCs/>
          <w:color w:val="0B5294"/>
          <w:sz w:val="60"/>
          <w:szCs w:val="60"/>
          <w:lang w:eastAsia="zh-CN"/>
        </w:rPr>
      </w:pPr>
      <w:r w:rsidRPr="00057E07">
        <w:rPr>
          <w:rFonts w:ascii="Arial" w:eastAsiaTheme="minorEastAsia" w:hAnsi="Arial" w:cstheme="minorBidi"/>
          <w:b/>
          <w:bCs/>
          <w:color w:val="0B5294"/>
          <w:sz w:val="60"/>
          <w:szCs w:val="60"/>
          <w:lang w:eastAsia="zh-CN"/>
        </w:rPr>
        <w:t>SPECIFICKÁ PRAVIDLA PRO</w:t>
      </w:r>
      <w:r w:rsidR="009A51A3" w:rsidRPr="00057E07">
        <w:rPr>
          <w:rFonts w:ascii="Arial" w:eastAsiaTheme="minorEastAsia" w:hAnsi="Arial" w:cstheme="minorBidi"/>
          <w:b/>
          <w:bCs/>
          <w:color w:val="0B5294"/>
          <w:sz w:val="60"/>
          <w:szCs w:val="60"/>
          <w:lang w:eastAsia="zh-CN"/>
        </w:rPr>
        <w:t> </w:t>
      </w:r>
      <w:r w:rsidRPr="00057E07">
        <w:rPr>
          <w:rFonts w:ascii="Arial" w:eastAsiaTheme="minorEastAsia" w:hAnsi="Arial" w:cstheme="minorBidi"/>
          <w:b/>
          <w:bCs/>
          <w:color w:val="0B5294"/>
          <w:sz w:val="60"/>
          <w:szCs w:val="60"/>
          <w:lang w:eastAsia="zh-CN"/>
        </w:rPr>
        <w:t>ŽADATELE A PŘÍJEMCE</w:t>
      </w:r>
      <w:r w:rsidRPr="00057E07" w:rsidDel="003F42A1">
        <w:rPr>
          <w:rFonts w:ascii="Arial" w:eastAsiaTheme="minorEastAsia" w:hAnsi="Arial" w:cstheme="minorBidi"/>
          <w:b/>
          <w:bCs/>
          <w:color w:val="0B5294"/>
          <w:sz w:val="60"/>
          <w:szCs w:val="60"/>
          <w:lang w:eastAsia="zh-CN"/>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63A442F3" w:rsidR="00F23FC9" w:rsidRPr="007D77F9" w:rsidRDefault="00F23FC9" w:rsidP="00F23FC9">
      <w:pPr>
        <w:spacing w:before="240"/>
        <w:jc w:val="center"/>
        <w:rPr>
          <w:rFonts w:ascii="Arial" w:hAnsi="Arial" w:cs="Arial"/>
          <w:b/>
          <w:bCs/>
          <w:caps/>
          <w:color w:val="214F87"/>
          <w:sz w:val="44"/>
          <w:szCs w:val="44"/>
        </w:rPr>
      </w:pPr>
      <w:r w:rsidRPr="007D77F9">
        <w:rPr>
          <w:rFonts w:ascii="Arial" w:hAnsi="Arial" w:cs="Arial"/>
          <w:b/>
          <w:bCs/>
          <w:caps/>
          <w:color w:val="214F87"/>
          <w:sz w:val="44"/>
          <w:szCs w:val="44"/>
        </w:rPr>
        <w:t xml:space="preserve">PŘÍLOHA </w:t>
      </w:r>
      <w:proofErr w:type="gramStart"/>
      <w:r w:rsidR="000F6082" w:rsidRPr="007D77F9">
        <w:rPr>
          <w:rFonts w:ascii="Arial" w:hAnsi="Arial" w:cs="Arial"/>
          <w:b/>
          <w:bCs/>
          <w:caps/>
          <w:color w:val="214F87"/>
          <w:sz w:val="44"/>
          <w:szCs w:val="44"/>
        </w:rPr>
        <w:t>3</w:t>
      </w:r>
      <w:r w:rsidR="00E41517" w:rsidRPr="007D77F9">
        <w:rPr>
          <w:rFonts w:ascii="Arial" w:hAnsi="Arial" w:cs="Arial"/>
          <w:b/>
          <w:bCs/>
          <w:caps/>
          <w:color w:val="214F87"/>
          <w:sz w:val="44"/>
          <w:szCs w:val="44"/>
        </w:rPr>
        <w:t>H</w:t>
      </w:r>
      <w:proofErr w:type="gramEnd"/>
    </w:p>
    <w:p w14:paraId="4A721379" w14:textId="40DBE51D" w:rsidR="00E41517" w:rsidRPr="00E41517" w:rsidRDefault="00F23FC9" w:rsidP="00E41517">
      <w:pPr>
        <w:widowControl w:val="0"/>
        <w:spacing w:after="240" w:line="271" w:lineRule="auto"/>
        <w:ind w:left="360"/>
        <w:jc w:val="center"/>
        <w:rPr>
          <w:rFonts w:ascii="Arial" w:hAnsi="Arial" w:cs="Arial"/>
          <w:sz w:val="44"/>
          <w:szCs w:val="44"/>
        </w:rPr>
      </w:pPr>
      <w:r w:rsidRPr="007D77F9">
        <w:rPr>
          <w:rFonts w:ascii="Arial" w:hAnsi="Arial" w:cs="Arial"/>
          <w:b/>
          <w:bCs/>
          <w:caps/>
          <w:color w:val="214F87"/>
          <w:sz w:val="44"/>
          <w:szCs w:val="44"/>
        </w:rPr>
        <w:t>Rozhodnutí o poskytnutí dotace</w:t>
      </w:r>
      <w:r w:rsidR="00803BAC" w:rsidRPr="007D77F9">
        <w:rPr>
          <w:rFonts w:ascii="Arial" w:hAnsi="Arial" w:cs="Arial"/>
          <w:b/>
          <w:bCs/>
          <w:caps/>
          <w:color w:val="214F87"/>
          <w:sz w:val="44"/>
          <w:szCs w:val="44"/>
        </w:rPr>
        <w:t xml:space="preserve"> A Podmínky</w:t>
      </w:r>
      <w:r w:rsidR="00E41517" w:rsidRPr="007D77F9">
        <w:rPr>
          <w:rFonts w:ascii="Arial" w:hAnsi="Arial" w:cs="Arial"/>
          <w:b/>
          <w:bCs/>
          <w:caps/>
          <w:color w:val="1F497D" w:themeColor="text2"/>
          <w:sz w:val="44"/>
          <w:szCs w:val="44"/>
        </w:rPr>
        <w:t xml:space="preserve"> </w:t>
      </w:r>
      <w:r w:rsidR="00E41517" w:rsidRPr="007D77F9">
        <w:rPr>
          <w:rFonts w:ascii="Arial" w:hAnsi="Arial" w:cs="Arial"/>
          <w:color w:val="1F497D" w:themeColor="text2"/>
          <w:sz w:val="44"/>
          <w:szCs w:val="44"/>
        </w:rPr>
        <w:t>(podpora de minimis)</w:t>
      </w:r>
    </w:p>
    <w:p w14:paraId="3913D93F" w14:textId="096D489F" w:rsidR="00F077FA" w:rsidRDefault="00F077FA">
      <w:pPr>
        <w:pStyle w:val="Zkladnodstavec"/>
        <w:rPr>
          <w:rFonts w:ascii="Arial" w:hAnsi="Arial" w:cs="Arial"/>
          <w:b/>
          <w:bCs/>
          <w:caps/>
          <w:color w:val="214F87"/>
        </w:rPr>
      </w:pPr>
    </w:p>
    <w:p w14:paraId="04512C2C" w14:textId="77777777" w:rsidR="00013039" w:rsidRPr="00A87262" w:rsidRDefault="00013039" w:rsidP="00013039">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05A1B5A0" w14:textId="77777777" w:rsidR="000F6082" w:rsidRDefault="000F6082" w:rsidP="00755826">
      <w:pPr>
        <w:spacing w:after="200"/>
        <w:jc w:val="center"/>
        <w:rPr>
          <w:rFonts w:ascii="Arial" w:hAnsi="Arial" w:cs="Arial"/>
          <w:caps/>
          <w:color w:val="7F7F7F" w:themeColor="text1" w:themeTint="80"/>
        </w:rPr>
      </w:pPr>
    </w:p>
    <w:p w14:paraId="27C16E27" w14:textId="4E5F0663"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4C0CB2">
        <w:rPr>
          <w:rFonts w:ascii="Arial" w:hAnsi="Arial" w:cs="Arial"/>
          <w:caps/>
          <w:color w:val="7F7F7F" w:themeColor="text1" w:themeTint="80"/>
        </w:rPr>
        <w:t>VERZE</w:t>
      </w:r>
      <w:r w:rsidRPr="004C0CB2">
        <w:rPr>
          <w:rFonts w:ascii="Arial" w:hAnsi="Arial" w:cs="Arial"/>
          <w:caps/>
          <w:color w:val="7F7F7F" w:themeColor="text1" w:themeTint="80"/>
          <w:sz w:val="32"/>
          <w:szCs w:val="32"/>
        </w:rPr>
        <w:t xml:space="preserve"> </w:t>
      </w:r>
      <w:r w:rsidR="00057E07" w:rsidRPr="004C0CB2">
        <w:rPr>
          <w:rFonts w:ascii="Arial" w:hAnsi="Arial" w:cs="Arial"/>
          <w:caps/>
          <w:color w:val="7F7F7F" w:themeColor="text1" w:themeTint="80"/>
          <w:sz w:val="32"/>
          <w:szCs w:val="32"/>
        </w:rPr>
        <w:t>2</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664CA5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9A51A3">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3FE852B9"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DB3B54">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13770AC8">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13770AC8">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13770AC8">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13770AC8">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13770AC8">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13770AC8">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13770AC8">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13770AC8">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13770AC8">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13770AC8">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13770AC8">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13770AC8">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13770AC8">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13770AC8">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13770AC8">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13770AC8">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13770AC8">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13770AC8">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13770AC8">
              <w:rPr>
                <w:rFonts w:ascii="Arial" w:hAnsi="Arial" w:cs="Arial"/>
                <w:b/>
                <w:bCs/>
                <w:snapToGrid w:val="0"/>
                <w:sz w:val="22"/>
                <w:szCs w:val="22"/>
              </w:rPr>
              <w:lastRenderedPageBreak/>
              <w:t>Plnění indikátorů</w:t>
            </w:r>
          </w:p>
        </w:tc>
      </w:tr>
      <w:tr w:rsidR="009132E6" w:rsidRPr="00BF657C" w14:paraId="50E37ED5" w14:textId="77777777" w:rsidTr="13770AC8">
        <w:trPr>
          <w:trHeight w:val="1266"/>
        </w:trPr>
        <w:tc>
          <w:tcPr>
            <w:tcW w:w="4533" w:type="dxa"/>
          </w:tcPr>
          <w:p w14:paraId="644CF3BB"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A67B07">
              <w:rPr>
                <w:rFonts w:ascii="Arial" w:hAnsi="Arial" w:cs="Arial"/>
                <w:snapToGrid w:val="0"/>
                <w:sz w:val="22"/>
                <w:szCs w:val="22"/>
              </w:rPr>
              <w:t>prokázat</w:t>
            </w:r>
            <w:r>
              <w:rPr>
                <w:rFonts w:ascii="Arial" w:hAnsi="Arial" w:cs="Arial"/>
                <w:snapToGrid w:val="0"/>
                <w:sz w:val="22"/>
                <w:szCs w:val="22"/>
              </w:rPr>
              <w:t>,</w:t>
            </w:r>
            <w:r w:rsidRPr="00A67B07">
              <w:rPr>
                <w:rFonts w:ascii="Arial" w:hAnsi="Arial" w:cs="Arial"/>
                <w:snapToGrid w:val="0"/>
                <w:sz w:val="22"/>
                <w:szCs w:val="22"/>
              </w:rPr>
              <w:t xml:space="preserve"> že indikátor </w:t>
            </w:r>
            <w:r w:rsidRPr="1A7EB22A">
              <w:rPr>
                <w:rFonts w:ascii="Arial" w:hAnsi="Arial" w:cs="Arial"/>
                <w:i/>
                <w:iCs/>
                <w:snapToGrid w:val="0"/>
                <w:sz w:val="22"/>
                <w:szCs w:val="22"/>
              </w:rPr>
              <w:t>I.</w:t>
            </w:r>
            <w:r w:rsidRPr="1A7EB22A">
              <w:rPr>
                <w:rFonts w:ascii="Arial" w:hAnsi="Arial" w:cs="Arial"/>
                <w:snapToGrid w:val="0"/>
                <w:sz w:val="22"/>
                <w:szCs w:val="22"/>
              </w:rPr>
              <w:t xml:space="preserve"> byl naplněn v termínu a cílové hodnotě uvedené na Rozhodnutí / v MS2021+</w:t>
            </w:r>
            <w:r w:rsidRPr="1A7EB22A">
              <w:rPr>
                <w:rStyle w:val="Znakapoznpodarou"/>
                <w:rFonts w:ascii="Arial" w:hAnsi="Arial" w:cs="Arial"/>
                <w:snapToGrid w:val="0"/>
                <w:sz w:val="22"/>
                <w:szCs w:val="22"/>
              </w:rPr>
              <w:footnoteReference w:id="14"/>
            </w:r>
            <w:r w:rsidRPr="1A7EB22A">
              <w:rPr>
                <w:rFonts w:ascii="Arial" w:hAnsi="Arial" w:cs="Arial"/>
                <w:snapToGrid w:val="0"/>
                <w:sz w:val="22"/>
                <w:szCs w:val="22"/>
              </w:rPr>
              <w:t>.</w:t>
            </w:r>
            <w:r w:rsidRPr="00BF657C">
              <w:rPr>
                <w:rFonts w:ascii="Arial" w:hAnsi="Arial" w:cs="Arial"/>
                <w:snapToGrid w:val="0"/>
                <w:sz w:val="22"/>
                <w:szCs w:val="22"/>
              </w:rPr>
              <w:t xml:space="preserve"> </w:t>
            </w:r>
          </w:p>
          <w:p w14:paraId="772F2C2A"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r>
              <w:rPr>
                <w:rFonts w:ascii="Arial" w:hAnsi="Arial" w:cs="Arial"/>
                <w:snapToGrid w:val="0"/>
                <w:sz w:val="22"/>
                <w:szCs w:val="22"/>
              </w:rPr>
              <w:t>y</w:t>
            </w:r>
            <w:r w:rsidRPr="00A67B07">
              <w:rPr>
                <w:rFonts w:ascii="Arial" w:hAnsi="Arial" w:cs="Arial"/>
                <w:snapToGrid w:val="0"/>
                <w:sz w:val="22"/>
                <w:szCs w:val="22"/>
              </w:rPr>
              <w:t>:</w:t>
            </w:r>
          </w:p>
          <w:p w14:paraId="67BE424A" w14:textId="77777777" w:rsidR="00013039" w:rsidRPr="009F3802" w:rsidRDefault="00013039" w:rsidP="1A7EB22A">
            <w:pPr>
              <w:pStyle w:val="Odstavecseseznamem"/>
              <w:numPr>
                <w:ilvl w:val="0"/>
                <w:numId w:val="32"/>
              </w:numPr>
              <w:jc w:val="both"/>
              <w:rPr>
                <w:rFonts w:ascii="Arial" w:hAnsi="Arial" w:cs="Arial"/>
                <w:i/>
                <w:iCs/>
                <w:snapToGrid w:val="0"/>
                <w:sz w:val="22"/>
                <w:szCs w:val="22"/>
              </w:rPr>
            </w:pPr>
            <w:r w:rsidRPr="1A7EB22A">
              <w:rPr>
                <w:rFonts w:ascii="Arial" w:hAnsi="Arial" w:cs="Arial"/>
                <w:i/>
                <w:iCs/>
                <w:snapToGrid w:val="0"/>
                <w:sz w:val="22"/>
                <w:szCs w:val="22"/>
              </w:rPr>
              <w:t>304 002 - Nové nebo modernizované prvky k zajištění standardů kybernetické bezpečnosti</w:t>
            </w:r>
          </w:p>
          <w:p w14:paraId="0901F49E"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p w14:paraId="746ABC43" w14:textId="77777777" w:rsidR="009132E6" w:rsidRPr="00BF657C" w:rsidRDefault="009132E6" w:rsidP="00013039">
            <w:pPr>
              <w:spacing w:before="120" w:after="120" w:line="271" w:lineRule="auto"/>
              <w:ind w:right="-2"/>
              <w:jc w:val="both"/>
              <w:rPr>
                <w:rFonts w:ascii="Arial" w:hAnsi="Arial" w:cs="Arial"/>
                <w:snapToGrid w:val="0"/>
                <w:sz w:val="22"/>
                <w:szCs w:val="22"/>
              </w:rPr>
            </w:pPr>
          </w:p>
        </w:tc>
        <w:tc>
          <w:tcPr>
            <w:tcW w:w="4534" w:type="dxa"/>
          </w:tcPr>
          <w:p w14:paraId="06FCCFC3" w14:textId="77777777" w:rsidR="002F17C5" w:rsidRPr="00BF657C" w:rsidRDefault="002F17C5" w:rsidP="002F17C5">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2BBB2948" w14:textId="77777777" w:rsidR="002F17C5" w:rsidRPr="009F3802" w:rsidRDefault="002F17C5" w:rsidP="1A7EB22A">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1A7EB22A">
              <w:rPr>
                <w:rFonts w:ascii="Arial" w:hAnsi="Arial" w:cs="Arial"/>
                <w:i/>
                <w:iCs/>
                <w:snapToGrid w:val="0"/>
                <w:sz w:val="22"/>
                <w:szCs w:val="22"/>
                <w:lang w:eastAsia="zh-CN" w:bidi="ar"/>
              </w:rPr>
              <w:t>I</w:t>
            </w:r>
            <w:r w:rsidRPr="1A7EB22A">
              <w:rPr>
                <w:rFonts w:ascii="Arial" w:hAnsi="Arial" w:cs="Arial"/>
                <w:snapToGrid w:val="0"/>
                <w:sz w:val="22"/>
                <w:szCs w:val="22"/>
                <w:lang w:eastAsia="zh-CN" w:bidi="ar"/>
              </w:rPr>
              <w:t>. na 100 %.</w:t>
            </w:r>
          </w:p>
          <w:p w14:paraId="462B86E6" w14:textId="77777777" w:rsidR="002F17C5" w:rsidRPr="00BF657C" w:rsidRDefault="002F17C5" w:rsidP="002F17C5">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0EE2F3EF" w14:textId="77777777" w:rsidR="002F17C5" w:rsidRPr="00AB5DFF" w:rsidRDefault="002F17C5" w:rsidP="004C0CB2">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0AB5DFF">
              <w:rPr>
                <w:rFonts w:ascii="Arial" w:hAnsi="Arial" w:cs="Arial"/>
                <w:snapToGrid w:val="0"/>
                <w:sz w:val="22"/>
                <w:szCs w:val="22"/>
                <w:lang w:eastAsia="zh-CN" w:bidi="ar"/>
              </w:rPr>
              <w:t xml:space="preserve">u indikátoru </w:t>
            </w:r>
            <w:r w:rsidRPr="00AB5DFF">
              <w:rPr>
                <w:rFonts w:ascii="Arial" w:hAnsi="Arial" w:cs="Arial"/>
                <w:i/>
                <w:iCs/>
                <w:snapToGrid w:val="0"/>
                <w:sz w:val="22"/>
                <w:szCs w:val="22"/>
                <w:lang w:eastAsia="zh-CN" w:bidi="ar"/>
              </w:rPr>
              <w:t>I.</w:t>
            </w:r>
            <w:r w:rsidRPr="00AB5DFF">
              <w:rPr>
                <w:rFonts w:ascii="Arial" w:hAnsi="Arial" w:cs="Arial"/>
                <w:snapToGrid w:val="0"/>
                <w:sz w:val="22"/>
                <w:szCs w:val="22"/>
                <w:lang w:eastAsia="zh-CN" w:bidi="ar"/>
              </w:rPr>
              <w:t xml:space="preserve"> v poměrné výši zohledňující cílovou hodnotu indikátoru a dosaženou hodnotu indikátoru.</w:t>
            </w:r>
          </w:p>
          <w:p w14:paraId="408BDE7F" w14:textId="154CFAE0" w:rsidR="009132E6" w:rsidRPr="00BF657C" w:rsidRDefault="00013039"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5"/>
            </w:r>
            <w:r>
              <w:rPr>
                <w:rFonts w:ascii="Arial" w:hAnsi="Arial" w:cs="Arial"/>
                <w:snapToGrid w:val="0"/>
                <w:sz w:val="22"/>
                <w:szCs w:val="22"/>
              </w:rPr>
              <w:t>.</w:t>
            </w:r>
          </w:p>
        </w:tc>
      </w:tr>
      <w:tr w:rsidR="009132E6" w:rsidRPr="00BF657C" w14:paraId="1BD56B81" w14:textId="77777777" w:rsidTr="13770AC8">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13770AC8">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1A7EB22A">
              <w:rPr>
                <w:rFonts w:ascii="Arial" w:hAnsi="Arial" w:cs="Arial"/>
                <w:sz w:val="22"/>
                <w:szCs w:val="22"/>
              </w:rPr>
              <w:t xml:space="preserve">Příjemce je povinen po celou dobu udržitelnosti zachovat </w:t>
            </w:r>
            <w:r w:rsidRPr="1A7EB22A">
              <w:rPr>
                <w:rFonts w:ascii="Arial" w:hAnsi="Arial" w:cs="Arial"/>
                <w:b/>
                <w:bCs/>
                <w:sz w:val="22"/>
                <w:szCs w:val="22"/>
              </w:rPr>
              <w:t xml:space="preserve">účel, </w:t>
            </w:r>
            <w:r w:rsidRPr="1A7EB22A">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1A7EB22A">
              <w:rPr>
                <w:rFonts w:ascii="Arial" w:hAnsi="Arial" w:cs="Arial"/>
                <w:sz w:val="22"/>
                <w:szCs w:val="22"/>
                <w:lang w:eastAsia="zh-CN" w:bidi="ar"/>
              </w:rPr>
              <w:t>Finanční oprava bude vyčíslena s ohledem na dobu, po kterou nebyl účel projektu zachován podle vzorce: x=(b/</w:t>
            </w:r>
            <w:proofErr w:type="gramStart"/>
            <w:r w:rsidRPr="1A7EB22A">
              <w:rPr>
                <w:rFonts w:ascii="Arial" w:hAnsi="Arial" w:cs="Arial"/>
                <w:sz w:val="22"/>
                <w:szCs w:val="22"/>
                <w:lang w:eastAsia="zh-CN" w:bidi="ar"/>
              </w:rPr>
              <w:t>a)*</w:t>
            </w:r>
            <w:proofErr w:type="gramEnd"/>
            <w:r w:rsidRPr="1A7EB22A">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1A7EB22A">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1A7EB22A">
              <w:rPr>
                <w:rFonts w:ascii="Arial" w:hAnsi="Arial" w:cs="Arial"/>
                <w:sz w:val="22"/>
                <w:szCs w:val="22"/>
                <w:lang w:eastAsia="zh-CN" w:bidi="ar"/>
              </w:rPr>
              <w:t xml:space="preserve">a = doba od ukončení </w:t>
            </w:r>
            <w:r w:rsidRPr="1A7EB22A">
              <w:rPr>
                <w:rFonts w:ascii="Arial" w:hAnsi="Arial" w:cs="Arial"/>
                <w:sz w:val="22"/>
                <w:szCs w:val="22"/>
              </w:rPr>
              <w:t>realizace projektu do ukončení udržitelnosti</w:t>
            </w:r>
            <w:r w:rsidRPr="1A7EB22A">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1A7EB22A">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1A7EB22A">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1A7EB22A">
              <w:rPr>
                <w:rFonts w:ascii="Arial" w:hAnsi="Arial" w:cs="Arial"/>
                <w:sz w:val="22"/>
                <w:szCs w:val="22"/>
                <w:lang w:eastAsia="zh-CN" w:bidi="ar"/>
              </w:rPr>
              <w:t>Doba trvání podmínky a neplnění podmínky je počítána ve dnech.</w:t>
            </w:r>
          </w:p>
        </w:tc>
      </w:tr>
      <w:tr w:rsidR="009132E6" w:rsidRPr="00BF657C" w14:paraId="7B38AABB" w14:textId="77777777" w:rsidTr="13770AC8">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1A7EB22A">
              <w:rPr>
                <w:rFonts w:ascii="Arial" w:hAnsi="Arial" w:cs="Arial"/>
                <w:sz w:val="22"/>
                <w:szCs w:val="22"/>
              </w:rPr>
              <w:t xml:space="preserve">Příjemce je povinen po celou dobu udržitelnosti zachovat </w:t>
            </w:r>
            <w:r w:rsidRPr="1A7EB22A">
              <w:rPr>
                <w:rFonts w:ascii="Arial" w:hAnsi="Arial" w:cs="Arial"/>
                <w:b/>
                <w:bCs/>
                <w:sz w:val="22"/>
                <w:szCs w:val="22"/>
              </w:rPr>
              <w:t xml:space="preserve">cíle, </w:t>
            </w:r>
            <w:r w:rsidRPr="1A7EB22A">
              <w:rPr>
                <w:rFonts w:ascii="Arial" w:hAnsi="Arial" w:cs="Arial"/>
                <w:sz w:val="22"/>
                <w:szCs w:val="22"/>
              </w:rPr>
              <w:t>na které mu byla dotace poskytnuta</w:t>
            </w:r>
            <w:r w:rsidRPr="1A7EB22A">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w:t>
            </w:r>
            <w:r w:rsidRPr="00BF657C">
              <w:rPr>
                <w:rFonts w:ascii="Arial" w:hAnsi="Arial" w:cs="Arial"/>
                <w:snapToGrid w:val="0"/>
                <w:sz w:val="22"/>
                <w:szCs w:val="22"/>
                <w:lang w:eastAsia="zh-CN" w:bidi="ar"/>
              </w:rPr>
              <w:lastRenderedPageBreak/>
              <w:t xml:space="preserve">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13770AC8">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1A7EB22A">
              <w:rPr>
                <w:rFonts w:ascii="Arial" w:hAnsi="Arial" w:cs="Arial"/>
                <w:b/>
                <w:bCs/>
                <w:snapToGrid w:val="0"/>
                <w:sz w:val="22"/>
                <w:szCs w:val="22"/>
              </w:rPr>
              <w:lastRenderedPageBreak/>
              <w:t>Udržení indikátorů</w:t>
            </w:r>
          </w:p>
        </w:tc>
      </w:tr>
      <w:tr w:rsidR="00013039" w:rsidRPr="00BF657C" w14:paraId="4B0E91EF" w14:textId="77777777" w:rsidTr="13770AC8">
        <w:trPr>
          <w:trHeight w:val="1124"/>
        </w:trPr>
        <w:tc>
          <w:tcPr>
            <w:tcW w:w="4533" w:type="dxa"/>
          </w:tcPr>
          <w:p w14:paraId="1A11AAB3" w14:textId="128AED90"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14AB43D3" w14:textId="1EF53F60"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418D1407"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5C461553" w14:textId="77777777" w:rsidR="00013039" w:rsidRPr="009F3802" w:rsidRDefault="00013039" w:rsidP="1A7EB22A">
            <w:pPr>
              <w:pStyle w:val="Odstavecseseznamem"/>
              <w:numPr>
                <w:ilvl w:val="0"/>
                <w:numId w:val="34"/>
              </w:numPr>
              <w:jc w:val="both"/>
              <w:rPr>
                <w:rFonts w:ascii="Arial" w:hAnsi="Arial" w:cs="Arial"/>
                <w:i/>
                <w:iCs/>
                <w:snapToGrid w:val="0"/>
                <w:sz w:val="22"/>
                <w:szCs w:val="22"/>
              </w:rPr>
            </w:pPr>
            <w:r w:rsidRPr="1A7EB22A">
              <w:rPr>
                <w:rFonts w:ascii="Arial" w:hAnsi="Arial" w:cs="Arial"/>
                <w:i/>
                <w:iCs/>
                <w:snapToGrid w:val="0"/>
                <w:sz w:val="22"/>
                <w:szCs w:val="22"/>
              </w:rPr>
              <w:t>304 002 - Nové nebo modernizované prvky k zajištění standardů kybernetické bezpečnosti</w:t>
            </w:r>
          </w:p>
          <w:p w14:paraId="2BA0D56F"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013039">
              <w:rPr>
                <w:rFonts w:ascii="Arial" w:hAnsi="Arial" w:cs="Arial"/>
                <w:snapToGrid w:val="0"/>
                <w:sz w:val="22"/>
                <w:szCs w:val="22"/>
              </w:rPr>
              <w:t>Rozhodnutí.</w:t>
            </w:r>
          </w:p>
        </w:tc>
        <w:tc>
          <w:tcPr>
            <w:tcW w:w="4534" w:type="dxa"/>
          </w:tcPr>
          <w:p w14:paraId="36EF74A8"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1B5B239B" w14:textId="77777777" w:rsidR="00013039" w:rsidRPr="009F3802" w:rsidRDefault="00013039" w:rsidP="1A7EB22A">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1A7EB22A">
              <w:rPr>
                <w:rFonts w:ascii="Arial" w:hAnsi="Arial" w:cs="Arial"/>
                <w:i/>
                <w:iCs/>
                <w:snapToGrid w:val="0"/>
                <w:sz w:val="22"/>
                <w:szCs w:val="22"/>
                <w:lang w:eastAsia="zh-CN" w:bidi="ar"/>
              </w:rPr>
              <w:t xml:space="preserve">I. </w:t>
            </w:r>
            <w:r w:rsidRPr="1A7EB22A">
              <w:rPr>
                <w:rFonts w:ascii="Arial" w:hAnsi="Arial" w:cs="Arial"/>
                <w:snapToGrid w:val="0"/>
                <w:sz w:val="22"/>
                <w:szCs w:val="22"/>
                <w:lang w:eastAsia="zh-CN" w:bidi="ar"/>
              </w:rPr>
              <w:t>na 100 %.</w:t>
            </w:r>
          </w:p>
          <w:p w14:paraId="1271AB3B"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onkrétní výše finanční opravy bude vypočítána následovně:</w:t>
            </w:r>
          </w:p>
          <w:p w14:paraId="2DC2B992" w14:textId="77777777" w:rsidR="00013039" w:rsidRPr="009F3802" w:rsidRDefault="00013039" w:rsidP="1A7EB22A">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1A7EB22A">
              <w:rPr>
                <w:rFonts w:ascii="Arial" w:hAnsi="Arial" w:cs="Arial"/>
                <w:snapToGrid w:val="0"/>
                <w:sz w:val="22"/>
                <w:szCs w:val="22"/>
                <w:lang w:eastAsia="zh-CN" w:bidi="ar"/>
              </w:rPr>
              <w:t>u indikátoru</w:t>
            </w:r>
            <w:r w:rsidRPr="1A7EB22A">
              <w:rPr>
                <w:rFonts w:ascii="Arial" w:hAnsi="Arial" w:cs="Arial"/>
                <w:i/>
                <w:iCs/>
                <w:snapToGrid w:val="0"/>
                <w:sz w:val="22"/>
                <w:szCs w:val="22"/>
                <w:lang w:eastAsia="zh-CN" w:bidi="ar"/>
              </w:rPr>
              <w:t xml:space="preserve"> I. </w:t>
            </w:r>
            <w:r w:rsidRPr="1A7EB22A">
              <w:rPr>
                <w:rFonts w:ascii="Arial" w:hAnsi="Arial" w:cs="Arial"/>
                <w:snapToGrid w:val="0"/>
                <w:sz w:val="22"/>
                <w:szCs w:val="22"/>
                <w:lang w:eastAsia="zh-CN" w:bidi="ar"/>
              </w:rPr>
              <w:t>v poměrné výši zohledňující dosaženou hodnotu indikátoru a skutečně udrženou hodnotu indikátoru.</w:t>
            </w:r>
          </w:p>
          <w:p w14:paraId="2255E64A" w14:textId="77777777" w:rsidR="00013039" w:rsidRPr="00BF657C" w:rsidRDefault="00013039" w:rsidP="00013039">
            <w:pPr>
              <w:spacing w:before="120" w:after="120" w:line="271" w:lineRule="auto"/>
              <w:jc w:val="both"/>
              <w:rPr>
                <w:rFonts w:ascii="Arial" w:hAnsi="Arial" w:cs="Arial"/>
                <w:sz w:val="22"/>
                <w:szCs w:val="22"/>
              </w:rPr>
            </w:pPr>
            <w:r w:rsidRPr="1A7EB22A">
              <w:rPr>
                <w:rFonts w:ascii="Arial" w:hAnsi="Arial" w:cs="Arial"/>
                <w:sz w:val="22"/>
                <w:szCs w:val="22"/>
                <w:lang w:eastAsia="zh-CN" w:bidi="ar"/>
              </w:rPr>
              <w:t>Do vzorce výpočtu bude promítnuta délka zkoumaného období a bude zohledněna délka doby, po kterou příjemce indikátor neudržel.</w:t>
            </w:r>
            <w:r w:rsidRPr="1A7EB22A">
              <w:rPr>
                <w:rFonts w:ascii="Arial" w:hAnsi="Arial" w:cs="Arial"/>
                <w:sz w:val="22"/>
                <w:szCs w:val="22"/>
              </w:rPr>
              <w:t xml:space="preserve"> </w:t>
            </w:r>
          </w:p>
          <w:p w14:paraId="52A97C33" w14:textId="54706CF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013039" w:rsidRPr="00BF657C" w14:paraId="14505DA3" w14:textId="77777777" w:rsidTr="13770AC8">
        <w:trPr>
          <w:trHeight w:val="516"/>
        </w:trPr>
        <w:tc>
          <w:tcPr>
            <w:tcW w:w="9067" w:type="dxa"/>
            <w:gridSpan w:val="2"/>
            <w:shd w:val="clear" w:color="auto" w:fill="D9D9D9" w:themeFill="background1" w:themeFillShade="D9"/>
          </w:tcPr>
          <w:p w14:paraId="09015C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013039" w:rsidRPr="00BF657C" w14:paraId="01AB7B95" w14:textId="77777777" w:rsidTr="13770AC8">
        <w:trPr>
          <w:trHeight w:val="720"/>
        </w:trPr>
        <w:tc>
          <w:tcPr>
            <w:tcW w:w="4533" w:type="dxa"/>
          </w:tcPr>
          <w:p w14:paraId="6A2503EA" w14:textId="03B327B4"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013039" w:rsidRPr="00BF657C" w:rsidRDefault="00013039" w:rsidP="00013039">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013039" w:rsidRPr="00BF657C" w14:paraId="5903C25A" w14:textId="77777777" w:rsidTr="13770AC8">
        <w:trPr>
          <w:trHeight w:val="516"/>
        </w:trPr>
        <w:tc>
          <w:tcPr>
            <w:tcW w:w="9067" w:type="dxa"/>
            <w:gridSpan w:val="2"/>
            <w:shd w:val="clear" w:color="auto" w:fill="D9D9D9" w:themeFill="background1" w:themeFillShade="D9"/>
          </w:tcPr>
          <w:p w14:paraId="2AB0BB07"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 xml:space="preserve">Nakládání s majetkem </w:t>
            </w:r>
          </w:p>
        </w:tc>
      </w:tr>
      <w:tr w:rsidR="00013039" w:rsidRPr="00BF657C" w14:paraId="02745F73" w14:textId="77777777" w:rsidTr="13770AC8">
        <w:trPr>
          <w:trHeight w:val="720"/>
        </w:trPr>
        <w:tc>
          <w:tcPr>
            <w:tcW w:w="4533" w:type="dxa"/>
          </w:tcPr>
          <w:p w14:paraId="0043DA21" w14:textId="77777777"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19"/>
            </w:r>
            <w:r w:rsidRPr="00BF657C">
              <w:rPr>
                <w:rFonts w:ascii="Arial" w:hAnsi="Arial" w:cs="Arial"/>
                <w:sz w:val="22"/>
                <w:szCs w:val="22"/>
                <w:lang w:eastAsia="ar-SA"/>
              </w:rPr>
              <w:t xml:space="preserve">: </w:t>
            </w:r>
          </w:p>
        </w:tc>
        <w:tc>
          <w:tcPr>
            <w:tcW w:w="4534" w:type="dxa"/>
          </w:tcPr>
          <w:p w14:paraId="4613D8E3"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561D689F" w14:textId="77777777" w:rsidTr="13770AC8">
        <w:trPr>
          <w:trHeight w:val="720"/>
        </w:trPr>
        <w:tc>
          <w:tcPr>
            <w:tcW w:w="4533" w:type="dxa"/>
          </w:tcPr>
          <w:p w14:paraId="457E7E9E"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013039" w:rsidRPr="00BF657C" w:rsidRDefault="00013039" w:rsidP="00013039">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013039" w:rsidRPr="00BF657C" w14:paraId="4FCE4C54" w14:textId="77777777" w:rsidTr="13770AC8">
        <w:trPr>
          <w:trHeight w:val="992"/>
        </w:trPr>
        <w:tc>
          <w:tcPr>
            <w:tcW w:w="4533" w:type="dxa"/>
          </w:tcPr>
          <w:p w14:paraId="41438915"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3B4E03F" w14:textId="77777777" w:rsidTr="13770AC8">
        <w:trPr>
          <w:trHeight w:val="516"/>
        </w:trPr>
        <w:tc>
          <w:tcPr>
            <w:tcW w:w="9067" w:type="dxa"/>
            <w:gridSpan w:val="2"/>
            <w:shd w:val="clear" w:color="auto" w:fill="D9D9D9" w:themeFill="background1" w:themeFillShade="D9"/>
          </w:tcPr>
          <w:p w14:paraId="3853035D"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013039" w:rsidRPr="00BF657C" w14:paraId="51C999EA" w14:textId="77777777" w:rsidTr="13770AC8">
        <w:tc>
          <w:tcPr>
            <w:tcW w:w="4533" w:type="dxa"/>
          </w:tcPr>
          <w:p w14:paraId="2D0BCC72" w14:textId="655CAE85"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0"/>
            </w:r>
            <w:r w:rsidRPr="00BF657C">
              <w:rPr>
                <w:rFonts w:ascii="Arial" w:hAnsi="Arial" w:cs="Arial"/>
                <w:snapToGrid w:val="0"/>
                <w:sz w:val="22"/>
                <w:szCs w:val="22"/>
              </w:rPr>
              <w:t>, související s realizací projektu, minimálně do konce roku 203</w:t>
            </w:r>
            <w:r>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3D0FE1B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w:t>
            </w:r>
            <w:r w:rsidRPr="00BF657C">
              <w:rPr>
                <w:rFonts w:ascii="Arial" w:hAnsi="Arial" w:cs="Arial"/>
                <w:snapToGrid w:val="0"/>
                <w:sz w:val="22"/>
                <w:szCs w:val="22"/>
              </w:rPr>
              <w:lastRenderedPageBreak/>
              <w:t xml:space="preserve">Nejvyššího kontrolního úřadu (dále jen „NKÚ“), Auditního orgánu (dále jen „AO“), Platebního orgánu (dále jen „MF </w:t>
            </w:r>
            <w:r>
              <w:rPr>
                <w:rFonts w:ascii="Arial" w:hAnsi="Arial" w:cs="Arial"/>
                <w:snapToGrid w:val="0"/>
                <w:sz w:val="22"/>
                <w:szCs w:val="22"/>
              </w:rPr>
              <w:t>–</w:t>
            </w:r>
            <w:r w:rsidRPr="00BF657C">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Pr>
                <w:rFonts w:ascii="Arial" w:hAnsi="Arial" w:cs="Arial"/>
                <w:snapToGrid w:val="0"/>
                <w:sz w:val="22"/>
                <w:szCs w:val="22"/>
              </w:rPr>
              <w:t> </w:t>
            </w:r>
            <w:r w:rsidRPr="00BF657C">
              <w:rPr>
                <w:rFonts w:ascii="Arial" w:hAnsi="Arial" w:cs="Arial"/>
                <w:snapToGrid w:val="0"/>
                <w:sz w:val="22"/>
                <w:szCs w:val="22"/>
              </w:rPr>
              <w:t>archivace do roku 203</w:t>
            </w:r>
            <w:r>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013039" w:rsidRPr="00BF657C" w:rsidRDefault="00013039" w:rsidP="00013039">
            <w:pPr>
              <w:spacing w:before="120" w:after="120" w:line="271" w:lineRule="auto"/>
              <w:jc w:val="both"/>
              <w:rPr>
                <w:rFonts w:ascii="Arial" w:hAnsi="Arial" w:cs="Arial"/>
                <w:snapToGrid w:val="0"/>
                <w:sz w:val="22"/>
                <w:szCs w:val="22"/>
              </w:rPr>
            </w:pPr>
          </w:p>
          <w:p w14:paraId="2AB7371A" w14:textId="77777777" w:rsidR="00013039" w:rsidRPr="00BF657C" w:rsidRDefault="00013039" w:rsidP="00013039">
            <w:pPr>
              <w:spacing w:before="120" w:after="120" w:line="271" w:lineRule="auto"/>
              <w:jc w:val="both"/>
              <w:rPr>
                <w:rFonts w:ascii="Arial" w:hAnsi="Arial" w:cs="Arial"/>
                <w:sz w:val="22"/>
                <w:szCs w:val="22"/>
              </w:rPr>
            </w:pPr>
          </w:p>
        </w:tc>
      </w:tr>
      <w:tr w:rsidR="00013039" w:rsidRPr="00BF657C" w14:paraId="4E64046C" w14:textId="77777777" w:rsidTr="13770AC8">
        <w:trPr>
          <w:trHeight w:val="516"/>
        </w:trPr>
        <w:tc>
          <w:tcPr>
            <w:tcW w:w="9067" w:type="dxa"/>
            <w:gridSpan w:val="2"/>
            <w:shd w:val="clear" w:color="auto" w:fill="D9D9D9" w:themeFill="background1" w:themeFillShade="D9"/>
          </w:tcPr>
          <w:p w14:paraId="3E228C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013039" w:rsidRPr="00BF657C" w14:paraId="50CD2685" w14:textId="77777777" w:rsidTr="13770AC8">
        <w:tc>
          <w:tcPr>
            <w:tcW w:w="4533" w:type="dxa"/>
          </w:tcPr>
          <w:p w14:paraId="6E0A8F6E" w14:textId="2B0D6415"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0D46C4F" w14:textId="77777777" w:rsidTr="13770AC8">
        <w:tc>
          <w:tcPr>
            <w:tcW w:w="4533" w:type="dxa"/>
          </w:tcPr>
          <w:p w14:paraId="694B9780" w14:textId="77777777"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 resp. 100</w:t>
            </w:r>
            <w:r>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013039" w:rsidRPr="00BF657C" w14:paraId="28FC0C5B" w14:textId="77777777" w:rsidTr="13770AC8">
        <w:tc>
          <w:tcPr>
            <w:tcW w:w="4533" w:type="dxa"/>
          </w:tcPr>
          <w:p w14:paraId="504C0E08" w14:textId="66AAEA82" w:rsidR="00013039" w:rsidRPr="00BF657C" w:rsidDel="7E14C127" w:rsidRDefault="00013039" w:rsidP="00013039">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nesmí být po celou dobu realizace a udržitelnosti projektu osobou, které je zakázáno poskytnout dotaci ve smyslu § 4c zákona č. 159/2006 Sb., </w:t>
            </w:r>
            <w:r w:rsidRPr="00BF657C">
              <w:rPr>
                <w:rFonts w:ascii="Arial" w:hAnsi="Arial" w:cs="Arial"/>
                <w:sz w:val="22"/>
                <w:szCs w:val="22"/>
              </w:rPr>
              <w:lastRenderedPageBreak/>
              <w:t>o</w:t>
            </w:r>
            <w:r>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w:t>
            </w:r>
          </w:p>
        </w:tc>
      </w:tr>
      <w:tr w:rsidR="00013039" w:rsidRPr="00BF657C" w14:paraId="2FB61BF1" w14:textId="77777777" w:rsidTr="13770AC8">
        <w:tc>
          <w:tcPr>
            <w:tcW w:w="4533" w:type="dxa"/>
          </w:tcPr>
          <w:p w14:paraId="6872B4EE" w14:textId="2759E2BB" w:rsidR="00013039" w:rsidRPr="00BF657C" w:rsidRDefault="00013039" w:rsidP="00013039">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013039" w:rsidRPr="00BF657C" w14:paraId="4D881B5A" w14:textId="77777777" w:rsidTr="13770AC8">
        <w:trPr>
          <w:trHeight w:val="516"/>
        </w:trPr>
        <w:tc>
          <w:tcPr>
            <w:tcW w:w="9067" w:type="dxa"/>
            <w:gridSpan w:val="2"/>
            <w:shd w:val="clear" w:color="auto" w:fill="D9D9D9" w:themeFill="background1" w:themeFillShade="D9"/>
          </w:tcPr>
          <w:p w14:paraId="785AC6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013039" w:rsidRPr="00BF657C" w14:paraId="562D2139" w14:textId="77777777" w:rsidTr="13770AC8">
        <w:trPr>
          <w:trHeight w:val="1435"/>
        </w:trPr>
        <w:tc>
          <w:tcPr>
            <w:tcW w:w="4533" w:type="dxa"/>
          </w:tcPr>
          <w:p w14:paraId="798E36EA" w14:textId="77777777" w:rsidR="00013039" w:rsidRPr="00BF657C" w:rsidRDefault="00013039" w:rsidP="00013039">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013039" w:rsidRPr="00BF657C" w:rsidRDefault="00013039" w:rsidP="00013039">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013039" w:rsidRPr="00BF657C" w14:paraId="3A6B13EF" w14:textId="77777777" w:rsidTr="13770AC8">
        <w:trPr>
          <w:trHeight w:val="516"/>
        </w:trPr>
        <w:tc>
          <w:tcPr>
            <w:tcW w:w="9067" w:type="dxa"/>
            <w:gridSpan w:val="2"/>
            <w:shd w:val="clear" w:color="auto" w:fill="D9D9D9" w:themeFill="background1" w:themeFillShade="D9"/>
          </w:tcPr>
          <w:p w14:paraId="1C606E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013039" w:rsidRPr="00BF657C" w14:paraId="7CAFC49D" w14:textId="77777777" w:rsidTr="13770AC8">
        <w:tc>
          <w:tcPr>
            <w:tcW w:w="4533" w:type="dxa"/>
          </w:tcPr>
          <w:p w14:paraId="38E8938A"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013039" w:rsidRPr="00BF657C" w14:paraId="48C3A8C9" w14:textId="77777777" w:rsidTr="13770AC8">
        <w:trPr>
          <w:trHeight w:val="516"/>
        </w:trPr>
        <w:tc>
          <w:tcPr>
            <w:tcW w:w="9067" w:type="dxa"/>
            <w:gridSpan w:val="2"/>
            <w:shd w:val="clear" w:color="auto" w:fill="D9D9D9" w:themeFill="background1" w:themeFillShade="D9"/>
          </w:tcPr>
          <w:p w14:paraId="7E16B8FC"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013039" w:rsidRPr="00BF657C" w14:paraId="131D41F3" w14:textId="77777777" w:rsidTr="13770AC8">
        <w:trPr>
          <w:trHeight w:val="410"/>
        </w:trPr>
        <w:tc>
          <w:tcPr>
            <w:tcW w:w="4533" w:type="dxa"/>
          </w:tcPr>
          <w:p w14:paraId="152F0FFF"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013039" w:rsidRPr="00BF657C" w:rsidRDefault="00013039" w:rsidP="00013039">
            <w:pPr>
              <w:spacing w:before="120" w:after="120" w:line="271" w:lineRule="auto"/>
              <w:jc w:val="both"/>
              <w:rPr>
                <w:rFonts w:ascii="Arial" w:hAnsi="Arial" w:cs="Arial"/>
                <w:snapToGrid w:val="0"/>
                <w:sz w:val="22"/>
                <w:szCs w:val="22"/>
              </w:rPr>
            </w:pPr>
          </w:p>
        </w:tc>
        <w:tc>
          <w:tcPr>
            <w:tcW w:w="4534" w:type="dxa"/>
          </w:tcPr>
          <w:p w14:paraId="1F123386" w14:textId="58AB7A44"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Pr>
                <w:rFonts w:ascii="Arial" w:hAnsi="Arial" w:cs="Arial"/>
                <w:snapToGrid w:val="0"/>
                <w:sz w:val="22"/>
                <w:szCs w:val="22"/>
              </w:rPr>
              <w:t>–</w:t>
            </w:r>
            <w:r w:rsidRPr="00BF657C">
              <w:rPr>
                <w:rFonts w:ascii="Arial" w:hAnsi="Arial" w:cs="Arial"/>
                <w:snapToGrid w:val="0"/>
                <w:sz w:val="22"/>
                <w:szCs w:val="22"/>
              </w:rPr>
              <w:t xml:space="preserve"> 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předepsaný rozměr nástroje.</w:t>
            </w:r>
          </w:p>
          <w:p w14:paraId="4EC87CEE" w14:textId="77777777" w:rsidR="00013039" w:rsidRPr="00BF657C" w:rsidRDefault="00013039" w:rsidP="00013039">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Pr>
                <w:rFonts w:ascii="Arial" w:hAnsi="Arial" w:cs="Arial"/>
                <w:snapToGrid w:val="0"/>
                <w:sz w:val="22"/>
                <w:szCs w:val="22"/>
              </w:rPr>
              <w:t>–</w:t>
            </w:r>
            <w:r w:rsidRPr="00BF657C">
              <w:rPr>
                <w:rFonts w:ascii="Arial" w:hAnsi="Arial" w:cs="Arial"/>
                <w:snapToGrid w:val="0"/>
                <w:sz w:val="22"/>
                <w:szCs w:val="22"/>
              </w:rPr>
              <w:t xml:space="preserve"> v</w:t>
            </w:r>
            <w:r>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03D316B1"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5D5C2B">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013039">
        <w:rPr>
          <w:rFonts w:ascii="Arial" w:hAnsi="Arial" w:cs="Arial"/>
          <w:b/>
          <w:i/>
          <w:snapToGrid w:val="0"/>
          <w:sz w:val="22"/>
          <w:szCs w:val="22"/>
        </w:rPr>
        <w:t>Veřejná podpora</w:t>
      </w:r>
    </w:p>
    <w:p w14:paraId="066C872F" w14:textId="4CC24E9B" w:rsidR="0072679A" w:rsidRPr="00457BE0" w:rsidRDefault="0072679A" w:rsidP="0072679A">
      <w:pPr>
        <w:widowControl w:val="0"/>
        <w:numPr>
          <w:ilvl w:val="0"/>
          <w:numId w:val="31"/>
        </w:numPr>
        <w:spacing w:after="240" w:line="271" w:lineRule="auto"/>
        <w:jc w:val="both"/>
        <w:rPr>
          <w:rFonts w:ascii="Arial" w:hAnsi="Arial" w:cs="Arial"/>
          <w:sz w:val="22"/>
          <w:szCs w:val="22"/>
        </w:rPr>
      </w:pPr>
      <w:r w:rsidRPr="00457BE0">
        <w:rPr>
          <w:rFonts w:ascii="Arial" w:hAnsi="Arial" w:cs="Arial"/>
          <w:sz w:val="22"/>
          <w:szCs w:val="22"/>
        </w:rPr>
        <w:t xml:space="preserve">Dotace je udělena v souladu s nařízením Komise (EU) </w:t>
      </w:r>
      <w:r>
        <w:rPr>
          <w:rFonts w:ascii="Arial" w:hAnsi="Arial" w:cs="Arial"/>
          <w:sz w:val="22"/>
          <w:szCs w:val="22"/>
        </w:rPr>
        <w:t>2023/2831</w:t>
      </w:r>
      <w:r w:rsidRPr="00457BE0">
        <w:rPr>
          <w:rFonts w:ascii="Arial" w:hAnsi="Arial" w:cs="Arial"/>
          <w:sz w:val="22"/>
          <w:szCs w:val="22"/>
          <w:vertAlign w:val="superscript"/>
        </w:rPr>
        <w:footnoteReference w:id="21"/>
      </w:r>
      <w:r w:rsidRPr="00457BE0">
        <w:rPr>
          <w:rFonts w:ascii="Arial" w:hAnsi="Arial" w:cs="Arial"/>
          <w:sz w:val="22"/>
          <w:szCs w:val="22"/>
        </w:rPr>
        <w:t xml:space="preserve"> ze dne </w:t>
      </w:r>
      <w:r>
        <w:rPr>
          <w:rFonts w:ascii="Arial" w:hAnsi="Arial" w:cs="Arial"/>
          <w:sz w:val="22"/>
          <w:szCs w:val="22"/>
        </w:rPr>
        <w:t xml:space="preserve">13. </w:t>
      </w:r>
      <w:r w:rsidRPr="00457BE0">
        <w:rPr>
          <w:rFonts w:ascii="Arial" w:hAnsi="Arial" w:cs="Arial"/>
          <w:sz w:val="22"/>
          <w:szCs w:val="22"/>
        </w:rPr>
        <w:t xml:space="preserve">prosince </w:t>
      </w:r>
      <w:r>
        <w:rPr>
          <w:rFonts w:ascii="Arial" w:hAnsi="Arial" w:cs="Arial"/>
          <w:sz w:val="22"/>
          <w:szCs w:val="22"/>
        </w:rPr>
        <w:t xml:space="preserve">2023 </w:t>
      </w:r>
      <w:r w:rsidRPr="00457BE0">
        <w:rPr>
          <w:rFonts w:ascii="Arial" w:hAnsi="Arial" w:cs="Arial"/>
          <w:sz w:val="22"/>
          <w:szCs w:val="22"/>
        </w:rPr>
        <w:t>o použití článku 107 a 108 S</w:t>
      </w:r>
      <w:r>
        <w:rPr>
          <w:rFonts w:ascii="Arial" w:hAnsi="Arial" w:cs="Arial"/>
          <w:sz w:val="22"/>
          <w:szCs w:val="22"/>
        </w:rPr>
        <w:t xml:space="preserve">mlouvy o fungování Evropské unie </w:t>
      </w:r>
      <w:r w:rsidRPr="00457BE0">
        <w:rPr>
          <w:rFonts w:ascii="Arial" w:hAnsi="Arial" w:cs="Arial"/>
          <w:sz w:val="22"/>
          <w:szCs w:val="22"/>
        </w:rPr>
        <w:t>na podporu de</w:t>
      </w:r>
      <w:r w:rsidR="00EA0311">
        <w:rPr>
          <w:rFonts w:ascii="Arial" w:hAnsi="Arial" w:cs="Arial"/>
          <w:sz w:val="22"/>
          <w:szCs w:val="22"/>
        </w:rPr>
        <w:t> </w:t>
      </w:r>
      <w:r w:rsidRPr="00457BE0">
        <w:rPr>
          <w:rFonts w:ascii="Arial" w:hAnsi="Arial" w:cs="Arial"/>
          <w:sz w:val="22"/>
          <w:szCs w:val="22"/>
        </w:rPr>
        <w:t>minimis.</w:t>
      </w:r>
    </w:p>
    <w:p w14:paraId="0C8AB8D8" w14:textId="77777777" w:rsidR="0072679A" w:rsidRPr="00457BE0" w:rsidRDefault="0072679A" w:rsidP="0072679A">
      <w:pPr>
        <w:widowControl w:val="0"/>
        <w:numPr>
          <w:ilvl w:val="0"/>
          <w:numId w:val="31"/>
        </w:numPr>
        <w:spacing w:after="240" w:line="271" w:lineRule="auto"/>
        <w:jc w:val="both"/>
        <w:rPr>
          <w:rFonts w:ascii="Arial" w:hAnsi="Arial" w:cs="Arial"/>
          <w:sz w:val="22"/>
          <w:szCs w:val="22"/>
        </w:rPr>
      </w:pPr>
      <w:r w:rsidRPr="0E478B57">
        <w:rPr>
          <w:rFonts w:ascii="Arial" w:hAnsi="Arial" w:cs="Arial"/>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w:t>
      </w:r>
    </w:p>
    <w:p w14:paraId="40E1F4BC" w14:textId="77777777" w:rsidR="0072679A" w:rsidRPr="00B24D6D" w:rsidRDefault="0072679A" w:rsidP="0072679A">
      <w:pPr>
        <w:pStyle w:val="Prosttext"/>
        <w:spacing w:before="120" w:after="120" w:line="271" w:lineRule="auto"/>
        <w:ind w:left="360"/>
        <w:jc w:val="both"/>
        <w:rPr>
          <w:rFonts w:eastAsia="Times New Roman" w:cs="Arial"/>
          <w:snapToGrid w:val="0"/>
          <w:sz w:val="22"/>
          <w:szCs w:val="22"/>
          <w:lang w:eastAsia="cs-CZ"/>
        </w:rPr>
      </w:pPr>
      <w:r w:rsidRPr="0E478B57">
        <w:rPr>
          <w:rFonts w:cs="Arial"/>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3B650FD3"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EA0311">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Default="00103969" w:rsidP="00103969">
      <w:pPr>
        <w:widowControl w:val="0"/>
        <w:spacing w:after="120" w:line="264" w:lineRule="auto"/>
        <w:ind w:left="357"/>
        <w:jc w:val="both"/>
        <w:rPr>
          <w:rFonts w:ascii="Arial" w:hAnsi="Arial" w:cs="Arial"/>
          <w:snapToGrid w:val="0"/>
          <w:sz w:val="22"/>
          <w:szCs w:val="22"/>
        </w:rPr>
      </w:pPr>
    </w:p>
    <w:p w14:paraId="011BEE20" w14:textId="77777777" w:rsidR="00EA0311" w:rsidRPr="00EE7B0F" w:rsidRDefault="00EA0311"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3148"/>
        <w:gridCol w:w="1393"/>
        <w:gridCol w:w="2972"/>
      </w:tblGrid>
      <w:tr w:rsidR="00804B4B" w:rsidRPr="00804B4B" w14:paraId="191C4894" w14:textId="77777777" w:rsidTr="009A51A3">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lastRenderedPageBreak/>
              <w:t>Vypracoval:</w:t>
            </w:r>
          </w:p>
        </w:tc>
        <w:tc>
          <w:tcPr>
            <w:tcW w:w="3148"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2E486EB3" w:rsidR="00931985" w:rsidRPr="00804B4B" w:rsidRDefault="00931985" w:rsidP="00931985">
            <w:pPr>
              <w:rPr>
                <w:rFonts w:ascii="Arial" w:hAnsi="Arial" w:cs="Arial"/>
                <w:sz w:val="22"/>
                <w:szCs w:val="22"/>
              </w:rPr>
            </w:pPr>
            <w:r>
              <w:rPr>
                <w:rFonts w:ascii="Arial" w:hAnsi="Arial" w:cs="Arial"/>
                <w:sz w:val="22"/>
                <w:szCs w:val="22"/>
              </w:rPr>
              <w:t>Oddělen</w:t>
            </w:r>
            <w:r w:rsidR="00EF7690">
              <w:rPr>
                <w:rFonts w:ascii="Arial" w:hAnsi="Arial" w:cs="Arial"/>
                <w:sz w:val="22"/>
                <w:szCs w:val="22"/>
              </w:rPr>
              <w:t>í finanční administrace programů</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393"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9A51A3">
        <w:trPr>
          <w:trHeight w:val="283"/>
        </w:trPr>
        <w:tc>
          <w:tcPr>
            <w:tcW w:w="1814" w:type="dxa"/>
            <w:tcBorders>
              <w:top w:val="nil"/>
              <w:left w:val="single" w:sz="4" w:space="0" w:color="auto"/>
              <w:bottom w:val="nil"/>
              <w:right w:val="single" w:sz="4" w:space="0" w:color="auto"/>
            </w:tcBorders>
            <w:hideMark/>
          </w:tcPr>
          <w:p w14:paraId="6D191B12" w14:textId="18C739AC" w:rsidR="00804B4B" w:rsidRPr="00804B4B" w:rsidRDefault="00804B4B" w:rsidP="00D85842">
            <w:pPr>
              <w:rPr>
                <w:rFonts w:ascii="Arial" w:hAnsi="Arial" w:cs="Arial"/>
                <w:sz w:val="22"/>
                <w:szCs w:val="22"/>
              </w:rPr>
            </w:pPr>
            <w:r w:rsidRPr="00804B4B">
              <w:rPr>
                <w:rFonts w:ascii="Arial" w:hAnsi="Arial" w:cs="Arial"/>
                <w:sz w:val="22"/>
                <w:szCs w:val="22"/>
              </w:rPr>
              <w:t>E</w:t>
            </w:r>
            <w:r w:rsidR="00EA0311">
              <w:rPr>
                <w:rFonts w:ascii="Arial" w:hAnsi="Arial" w:cs="Arial"/>
                <w:sz w:val="22"/>
                <w:szCs w:val="22"/>
              </w:rPr>
              <w:t>-</w:t>
            </w:r>
            <w:r w:rsidRPr="00804B4B">
              <w:rPr>
                <w:rFonts w:ascii="Arial" w:hAnsi="Arial" w:cs="Arial"/>
                <w:sz w:val="22"/>
                <w:szCs w:val="22"/>
              </w:rPr>
              <w:t>mail:</w:t>
            </w:r>
          </w:p>
        </w:tc>
        <w:tc>
          <w:tcPr>
            <w:tcW w:w="3148" w:type="dxa"/>
            <w:tcBorders>
              <w:top w:val="single" w:sz="4" w:space="0" w:color="auto"/>
              <w:left w:val="single" w:sz="4" w:space="0" w:color="auto"/>
              <w:bottom w:val="single" w:sz="4" w:space="0" w:color="auto"/>
              <w:right w:val="single" w:sz="4" w:space="0" w:color="auto"/>
            </w:tcBorders>
            <w:vAlign w:val="center"/>
          </w:tcPr>
          <w:p w14:paraId="7730826A" w14:textId="3DD332CD"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9A51A3">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393"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9A51A3">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393"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9A51A3">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3148" w:type="dxa"/>
            <w:vMerge w:val="restart"/>
            <w:tcBorders>
              <w:top w:val="single" w:sz="4" w:space="0" w:color="auto"/>
              <w:left w:val="single" w:sz="4" w:space="0" w:color="auto"/>
              <w:right w:val="single" w:sz="2" w:space="0" w:color="auto"/>
            </w:tcBorders>
            <w:vAlign w:val="center"/>
          </w:tcPr>
          <w:p w14:paraId="0EFD8A29" w14:textId="77777777" w:rsidR="00AB5DFF" w:rsidRPr="00804B4B" w:rsidRDefault="00AB5DFF" w:rsidP="00AB5DFF">
            <w:pPr>
              <w:spacing w:line="259" w:lineRule="auto"/>
              <w:jc w:val="center"/>
              <w:rPr>
                <w:rFonts w:ascii="Arial" w:hAnsi="Arial" w:cs="Arial"/>
                <w:sz w:val="22"/>
                <w:szCs w:val="22"/>
              </w:rPr>
            </w:pPr>
            <w:r w:rsidRPr="30164EBD">
              <w:rPr>
                <w:rFonts w:ascii="Arial" w:hAnsi="Arial" w:cs="Arial"/>
                <w:sz w:val="22"/>
                <w:szCs w:val="22"/>
              </w:rPr>
              <w:t>ředitel/</w:t>
            </w:r>
            <w:proofErr w:type="spellStart"/>
            <w:r w:rsidRPr="30164EBD">
              <w:rPr>
                <w:rFonts w:ascii="Arial" w:hAnsi="Arial" w:cs="Arial"/>
                <w:sz w:val="22"/>
                <w:szCs w:val="22"/>
              </w:rPr>
              <w:t>ka</w:t>
            </w:r>
            <w:proofErr w:type="spellEnd"/>
          </w:p>
          <w:p w14:paraId="418F4E9F" w14:textId="796A0539" w:rsidR="00804B4B" w:rsidRPr="00804B4B" w:rsidRDefault="00AB5DFF" w:rsidP="00D85842">
            <w:pPr>
              <w:jc w:val="center"/>
              <w:rPr>
                <w:rFonts w:ascii="Arial" w:hAnsi="Arial" w:cs="Arial"/>
                <w:sz w:val="22"/>
                <w:szCs w:val="22"/>
              </w:rPr>
            </w:pPr>
            <w:r w:rsidRPr="30164EBD">
              <w:rPr>
                <w:rFonts w:ascii="Arial" w:hAnsi="Arial" w:cs="Arial"/>
                <w:sz w:val="22"/>
                <w:szCs w:val="22"/>
              </w:rPr>
              <w:t>Odbor Řídicího orgánu IROP</w:t>
            </w:r>
          </w:p>
        </w:tc>
        <w:tc>
          <w:tcPr>
            <w:tcW w:w="1393"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9A51A3">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3148" w:type="dxa"/>
            <w:vMerge/>
            <w:vAlign w:val="center"/>
          </w:tcPr>
          <w:p w14:paraId="611CCEF6" w14:textId="77777777" w:rsidR="00804B4B" w:rsidRPr="00804B4B" w:rsidRDefault="00804B4B" w:rsidP="00D85842">
            <w:pPr>
              <w:rPr>
                <w:rFonts w:ascii="Arial" w:hAnsi="Arial" w:cs="Arial"/>
                <w:sz w:val="22"/>
                <w:szCs w:val="22"/>
              </w:rPr>
            </w:pPr>
          </w:p>
        </w:tc>
        <w:tc>
          <w:tcPr>
            <w:tcW w:w="1393"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9A51A3">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393"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EA0E3" w14:textId="77777777" w:rsidR="00461DCF" w:rsidRDefault="00461DCF">
      <w:r>
        <w:separator/>
      </w:r>
    </w:p>
  </w:endnote>
  <w:endnote w:type="continuationSeparator" w:id="0">
    <w:p w14:paraId="6AE9A5C0" w14:textId="77777777" w:rsidR="00461DCF" w:rsidRDefault="00461DCF">
      <w:r>
        <w:continuationSeparator/>
      </w:r>
    </w:p>
  </w:endnote>
  <w:endnote w:type="continuationNotice" w:id="1">
    <w:p w14:paraId="361F1490" w14:textId="77777777" w:rsidR="00461DCF" w:rsidRDefault="00461D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F40A6" w14:textId="77777777" w:rsidR="00057E07" w:rsidRDefault="00057E0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DF643" w14:textId="0B2D3A9D" w:rsidR="00057E07" w:rsidRDefault="00057E07">
    <w:pPr>
      <w:pStyle w:val="Zpat"/>
    </w:pPr>
    <w:r>
      <w:rPr>
        <w:noProof/>
      </w:rPr>
      <w:drawing>
        <wp:anchor distT="0" distB="0" distL="114300" distR="114300" simplePos="0" relativeHeight="251661312" behindDoc="1" locked="1" layoutInCell="1" allowOverlap="1" wp14:anchorId="612E5D71" wp14:editId="243A25E7">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1775106"/>
      <w:docPartObj>
        <w:docPartGallery w:val="Page Numbers (Bottom of Page)"/>
        <w:docPartUnique/>
      </w:docPartObj>
    </w:sdtPr>
    <w:sdtEndPr/>
    <w:sdtContent>
      <w:sdt>
        <w:sdtPr>
          <w:id w:val="599151369"/>
          <w:docPartObj>
            <w:docPartGallery w:val="Page Numbers (Top of Page)"/>
            <w:docPartUnique/>
          </w:docPartObj>
        </w:sdtPr>
        <w:sdtEndPr/>
        <w:sdtContent>
          <w:p w14:paraId="69F2B532" w14:textId="2A19E841" w:rsidR="00057E07" w:rsidRDefault="00057E07">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4713061"/>
      <w:docPartObj>
        <w:docPartGallery w:val="Page Numbers (Bottom of Page)"/>
        <w:docPartUnique/>
      </w:docPartObj>
    </w:sdtPr>
    <w:sdtEndPr/>
    <w:sdtContent>
      <w:sdt>
        <w:sdtPr>
          <w:id w:val="-1769616900"/>
          <w:docPartObj>
            <w:docPartGallery w:val="Page Numbers (Top of Page)"/>
            <w:docPartUnique/>
          </w:docPartObj>
        </w:sdtPr>
        <w:sdtEndPr/>
        <w:sdtContent>
          <w:p w14:paraId="2D8374C8" w14:textId="443145D2" w:rsidR="00057E07" w:rsidRDefault="00057E07">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79BBC" w14:textId="77777777" w:rsidR="00461DCF" w:rsidRDefault="00461DCF">
      <w:r>
        <w:separator/>
      </w:r>
    </w:p>
  </w:footnote>
  <w:footnote w:type="continuationSeparator" w:id="0">
    <w:p w14:paraId="345718D1" w14:textId="77777777" w:rsidR="00461DCF" w:rsidRDefault="00461DCF">
      <w:r>
        <w:continuationSeparator/>
      </w:r>
    </w:p>
  </w:footnote>
  <w:footnote w:type="continuationNotice" w:id="1">
    <w:p w14:paraId="5344CF4F" w14:textId="77777777" w:rsidR="00461DCF" w:rsidRDefault="00461DCF"/>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2B11FBCF" w14:textId="77777777" w:rsidR="00013039" w:rsidRDefault="00013039" w:rsidP="00013039">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45412AEE" w14:textId="77777777" w:rsidR="00013039" w:rsidRPr="001F46DB" w:rsidRDefault="00013039" w:rsidP="00013039">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6">
    <w:p w14:paraId="44F04625" w14:textId="01DE1744" w:rsidR="00013039" w:rsidRDefault="00013039">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78110F87" w14:textId="77777777" w:rsidR="00013039" w:rsidRDefault="00013039" w:rsidP="00C97650">
      <w:pPr>
        <w:pStyle w:val="Textpoznpodarou"/>
      </w:pPr>
      <w:r>
        <w:rPr>
          <w:rStyle w:val="Znakapoznpodarou"/>
        </w:rPr>
        <w:footnoteRef/>
      </w:r>
      <w:r>
        <w:t xml:space="preserve"> </w:t>
      </w:r>
      <w:bookmarkStart w:id="10" w:name="_Hlk109895410"/>
      <w:bookmarkStart w:id="11" w:name="_Hlk109895616"/>
      <w:proofErr w:type="gramStart"/>
      <w:r w:rsidRPr="001F46DB">
        <w:rPr>
          <w:rFonts w:ascii="Arial" w:hAnsi="Arial" w:cs="Arial"/>
          <w:sz w:val="18"/>
          <w:szCs w:val="18"/>
        </w:rPr>
        <w:t>Vyšší</w:t>
      </w:r>
      <w:proofErr w:type="gramEnd"/>
      <w:r w:rsidRPr="001F46DB">
        <w:rPr>
          <w:rFonts w:ascii="Arial" w:hAnsi="Arial" w:cs="Arial"/>
          <w:sz w:val="18"/>
          <w:szCs w:val="18"/>
        </w:rPr>
        <w:t xml:space="preserve"> než cílové hodnoty znamená udržování lepšího než plánovaného či dosaženého stavu.</w:t>
      </w:r>
      <w:bookmarkEnd w:id="10"/>
      <w:bookmarkEnd w:id="11"/>
    </w:p>
  </w:footnote>
  <w:footnote w:id="18">
    <w:p w14:paraId="4503A58C" w14:textId="56577EB8" w:rsidR="00013039" w:rsidRPr="0042247B" w:rsidRDefault="00013039"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9">
    <w:p w14:paraId="37F2CE8A" w14:textId="77777777" w:rsidR="00013039" w:rsidRPr="00F834FF" w:rsidRDefault="00013039"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w:t>
      </w:r>
      <w:proofErr w:type="gramStart"/>
      <w:r w:rsidRPr="0042247B">
        <w:rPr>
          <w:rFonts w:ascii="Arial" w:hAnsi="Arial" w:cs="Arial"/>
          <w:sz w:val="18"/>
          <w:szCs w:val="18"/>
        </w:rPr>
        <w:t>10a</w:t>
      </w:r>
      <w:proofErr w:type="gramEnd"/>
      <w:r w:rsidRPr="0042247B">
        <w:rPr>
          <w:rFonts w:ascii="Arial" w:hAnsi="Arial" w:cs="Arial"/>
          <w:sz w:val="18"/>
          <w:szCs w:val="18"/>
        </w:rPr>
        <w:t>) a 10b) se netýká vztahů mezi obcí (resp. svazkem obcí) /krajem a jí/jím zřízenou či založenou organizací. Tyto změny stačí popsat ve zprávě o realizaci projektu / zprávě o udržitelnosti projektu.</w:t>
      </w:r>
    </w:p>
  </w:footnote>
  <w:footnote w:id="20">
    <w:p w14:paraId="78EA6670" w14:textId="77777777" w:rsidR="00013039" w:rsidRPr="0042247B" w:rsidRDefault="00013039"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1">
    <w:p w14:paraId="3776A7F7" w14:textId="77777777" w:rsidR="0072679A" w:rsidRPr="006423D6" w:rsidRDefault="0072679A" w:rsidP="0072679A">
      <w:pPr>
        <w:pStyle w:val="Textpoznpodarou"/>
      </w:pPr>
      <w:r>
        <w:rPr>
          <w:rStyle w:val="Znakapoznpodarou"/>
        </w:rPr>
        <w:footnoteRef/>
      </w:r>
      <w:r w:rsidRPr="006423D6">
        <w:t xml:space="preserve"> </w:t>
      </w:r>
      <w:r w:rsidRPr="006423D6">
        <w:rPr>
          <w:rFonts w:asciiTheme="minorHAnsi" w:hAnsiTheme="minorHAnsi"/>
          <w:sz w:val="16"/>
          <w:szCs w:val="16"/>
        </w:rPr>
        <w:t xml:space="preserve">Úř. věst. L, </w:t>
      </w:r>
      <w:r>
        <w:rPr>
          <w:rFonts w:asciiTheme="minorHAnsi" w:hAnsiTheme="minorHAnsi"/>
          <w:sz w:val="16"/>
          <w:szCs w:val="16"/>
        </w:rPr>
        <w:t>2023/2831, 15. 12.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8EB7C" w14:textId="77777777" w:rsidR="00057E07" w:rsidRDefault="00057E07">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5B0BB" w14:textId="504F5E7A" w:rsidR="00057E07" w:rsidRDefault="00057E07">
    <w:pPr>
      <w:pStyle w:val="Zhlav"/>
    </w:pPr>
    <w:r>
      <w:rPr>
        <w:noProof/>
      </w:rPr>
      <w:drawing>
        <wp:anchor distT="0" distB="0" distL="114300" distR="114300" simplePos="0" relativeHeight="251659264" behindDoc="1" locked="1" layoutInCell="1" allowOverlap="1" wp14:anchorId="0FE85AE5" wp14:editId="3712B811">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975FA" w14:textId="4975F319" w:rsidR="00057E07" w:rsidRDefault="00057E0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07926703">
    <w:abstractNumId w:val="19"/>
  </w:num>
  <w:num w:numId="2" w16cid:durableId="796603984">
    <w:abstractNumId w:val="28"/>
  </w:num>
  <w:num w:numId="3" w16cid:durableId="28603518">
    <w:abstractNumId w:val="2"/>
  </w:num>
  <w:num w:numId="4" w16cid:durableId="434402361">
    <w:abstractNumId w:val="7"/>
  </w:num>
  <w:num w:numId="5" w16cid:durableId="173570825">
    <w:abstractNumId w:val="12"/>
  </w:num>
  <w:num w:numId="6" w16cid:durableId="241991384">
    <w:abstractNumId w:val="18"/>
  </w:num>
  <w:num w:numId="7" w16cid:durableId="446630192">
    <w:abstractNumId w:val="6"/>
  </w:num>
  <w:num w:numId="8" w16cid:durableId="1460143286">
    <w:abstractNumId w:val="24"/>
  </w:num>
  <w:num w:numId="9" w16cid:durableId="1612206000">
    <w:abstractNumId w:val="31"/>
  </w:num>
  <w:num w:numId="10" w16cid:durableId="1641569222">
    <w:abstractNumId w:val="27"/>
  </w:num>
  <w:num w:numId="11" w16cid:durableId="1488782364">
    <w:abstractNumId w:val="8"/>
  </w:num>
  <w:num w:numId="12" w16cid:durableId="510611124">
    <w:abstractNumId w:val="10"/>
  </w:num>
  <w:num w:numId="13" w16cid:durableId="203297141">
    <w:abstractNumId w:val="33"/>
  </w:num>
  <w:num w:numId="14" w16cid:durableId="886995239">
    <w:abstractNumId w:val="29"/>
  </w:num>
  <w:num w:numId="15" w16cid:durableId="174733290">
    <w:abstractNumId w:val="13"/>
  </w:num>
  <w:num w:numId="16" w16cid:durableId="2101481835">
    <w:abstractNumId w:val="20"/>
  </w:num>
  <w:num w:numId="17" w16cid:durableId="1042749413">
    <w:abstractNumId w:val="4"/>
  </w:num>
  <w:num w:numId="18" w16cid:durableId="858278281">
    <w:abstractNumId w:val="15"/>
  </w:num>
  <w:num w:numId="19" w16cid:durableId="1685550392">
    <w:abstractNumId w:val="5"/>
  </w:num>
  <w:num w:numId="20" w16cid:durableId="116871580">
    <w:abstractNumId w:val="16"/>
  </w:num>
  <w:num w:numId="21" w16cid:durableId="40133140">
    <w:abstractNumId w:val="17"/>
  </w:num>
  <w:num w:numId="22" w16cid:durableId="2129817492">
    <w:abstractNumId w:val="14"/>
  </w:num>
  <w:num w:numId="23" w16cid:durableId="373623777">
    <w:abstractNumId w:val="23"/>
  </w:num>
  <w:num w:numId="24" w16cid:durableId="528959411">
    <w:abstractNumId w:val="3"/>
  </w:num>
  <w:num w:numId="25" w16cid:durableId="1232961490">
    <w:abstractNumId w:val="1"/>
  </w:num>
  <w:num w:numId="26" w16cid:durableId="432676275">
    <w:abstractNumId w:val="26"/>
  </w:num>
  <w:num w:numId="27" w16cid:durableId="1957131666">
    <w:abstractNumId w:val="21"/>
  </w:num>
  <w:num w:numId="28" w16cid:durableId="1002198085">
    <w:abstractNumId w:val="9"/>
  </w:num>
  <w:num w:numId="29" w16cid:durableId="847253547">
    <w:abstractNumId w:val="25"/>
  </w:num>
  <w:num w:numId="30" w16cid:durableId="2089764701">
    <w:abstractNumId w:val="32"/>
  </w:num>
  <w:num w:numId="31" w16cid:durableId="1922367611">
    <w:abstractNumId w:val="22"/>
  </w:num>
  <w:num w:numId="32" w16cid:durableId="352614146">
    <w:abstractNumId w:val="0"/>
  </w:num>
  <w:num w:numId="33" w16cid:durableId="1230192666">
    <w:abstractNumId w:val="11"/>
  </w:num>
  <w:num w:numId="34" w16cid:durableId="1172525674">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039"/>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57E07"/>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ED5"/>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08ED"/>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6A32"/>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7C5"/>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454"/>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3A4C"/>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6B5F"/>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2DAD"/>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1DCF"/>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A1"/>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CB2"/>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76F"/>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C2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79A"/>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7F9"/>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6B4"/>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B6A"/>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51A3"/>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5DFF"/>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3B54"/>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17"/>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311"/>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690"/>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609"/>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770AC8"/>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7EB22A"/>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s:customData xmlns="http://www.wps.cn/officeDocument/2013/wpsCustomData" xmlns:s="http://www.wps.cn/officeDocument/2013/wpsCustomData">
  <customSectProps>
    <customSectPr/>
  </customSectProps>
</s:customDat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mso-contentType ?>
<FormTemplates xmlns="http://schemas.microsoft.com/sharepoint/v3/contenttype/forms">
  <Display>DocumentLibraryForm</Display>
  <Edit>DocumentLibraryForm</Edit>
  <New>DocumentLibraryForm</New>
</FormTemplates>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10.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11.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12.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13.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14.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15.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1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7.xml><?xml version="1.0" encoding="utf-8"?>
<ds:datastoreItem xmlns:ds="http://schemas.openxmlformats.org/officeDocument/2006/customXml" ds:itemID="{05DB427B-C59E-4FC0-84EA-4A34BB89528F}">
  <ds:schemaRefs>
    <ds:schemaRef ds:uri="http://schemas.openxmlformats.org/officeDocument/2006/bibliography"/>
  </ds:schemaRefs>
</ds:datastoreItem>
</file>

<file path=customXml/itemProps18.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19.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2.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20.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1.xml><?xml version="1.0" encoding="utf-8"?>
<ds:datastoreItem xmlns:ds="http://schemas.openxmlformats.org/officeDocument/2006/customXml" ds:itemID="{B10E3B75-671E-4A13-80FF-0408EC4CA6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2.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23.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24.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5.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26.xml><?xml version="1.0" encoding="utf-8"?>
<ds:datastoreItem xmlns:ds="http://schemas.openxmlformats.org/officeDocument/2006/customXml" ds:itemID="{05C6B02B-73D8-4C12-B8C0-FCB4620E5553}">
  <ds:schemaRefs>
    <ds:schemaRef ds:uri="http://schemas.openxmlformats.org/officeDocument/2006/bibliography"/>
  </ds:schemaRefs>
</ds:datastoreItem>
</file>

<file path=customXml/itemProps3.xml><?xml version="1.0" encoding="utf-8"?>
<ds:datastoreItem xmlns:ds="http://schemas.openxmlformats.org/officeDocument/2006/customXml" ds:itemID="{5F27B2A3-37BF-4CDB-BC1A-562F6785C3C0}">
  <ds:schemaRefs>
    <ds:schemaRef ds:uri="http://schemas.openxmlformats.org/officeDocument/2006/bibliography"/>
  </ds:schemaRefs>
</ds:datastoreItem>
</file>

<file path=customXml/itemProps4.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5.xml><?xml version="1.0" encoding="utf-8"?>
<ds:datastoreItem xmlns:ds="http://schemas.openxmlformats.org/officeDocument/2006/customXml" ds:itemID="{9F82BAAA-CF3D-4617-9133-8D95A8365D50}">
  <ds:schemaRefs>
    <ds:schemaRef ds:uri="http://schemas.openxmlformats.org/officeDocument/2006/bibliography"/>
  </ds:schemaRefs>
</ds:datastoreItem>
</file>

<file path=customXml/itemProps6.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7.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8.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9.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3817</Words>
  <Characters>22267</Characters>
  <Application>Microsoft Office Word</Application>
  <DocSecurity>0</DocSecurity>
  <Lines>185</Lines>
  <Paragraphs>52</Paragraphs>
  <ScaleCrop>false</ScaleCrop>
  <Company>MMR</Company>
  <LinksUpToDate>false</LinksUpToDate>
  <CharactersWithSpaces>26032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15</cp:revision>
  <cp:lastPrinted>2022-07-27T10:25:00Z</cp:lastPrinted>
  <dcterms:created xsi:type="dcterms:W3CDTF">2026-03-16T09:49:00Z</dcterms:created>
  <dcterms:modified xsi:type="dcterms:W3CDTF">2026-06-25T06:53:00Z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